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760"/>
        <w:jc w:val="left"/>
      </w:pPr>
      <w:r>
        <w:drawing>
          <wp:inline xmlns:a="http://schemas.openxmlformats.org/drawingml/2006/main" xmlns:pic="http://schemas.openxmlformats.org/drawingml/2006/picture">
            <wp:extent cx="2423160" cy="1085879"/>
            <wp:docPr id="1" name="Picture 1" descr="Zephyr Robotics 追风机器人品牌 Logo" title="Zephyr Robotics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ligh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10858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Kicker"/>
        <w:spacing w:after="120"/>
      </w:pPr>
      <w:r>
        <w:rPr>
          <w:rFonts w:ascii="Arial" w:hAnsi="Arial" w:eastAsia="Microsoft YaHei"/>
          <w:b/>
          <w:caps/>
          <w:color w:val="0092B8"/>
          <w:sz w:val="18"/>
        </w:rPr>
        <w:t>CORPORATE REPORT · 示例模板</w:t>
      </w:r>
    </w:p>
    <w:p>
      <w:pPr>
        <w:pStyle w:val="Title"/>
        <w:jc w:val="left"/>
      </w:pPr>
      <w:r>
        <w:t>追风机器人公司能力报告</w:t>
      </w:r>
    </w:p>
    <w:p>
      <w:pPr>
        <w:pStyle w:val="Subtitle"/>
        <w:jc w:val="left"/>
      </w:pPr>
      <w:r>
        <w:t>把末端配送变成可运营的自动化网络</w:t>
      </w:r>
    </w:p>
    <w:p>
      <w:pPr>
        <w:pStyle w:val="Lead"/>
        <w:spacing w:after="480"/>
      </w:pPr>
      <w:r>
        <w:rPr>
          <w:rFonts w:ascii="Arial" w:hAnsi="Arial" w:eastAsia="Microsoft YaHei"/>
          <w:color w:val="1B2029"/>
          <w:sz w:val="26"/>
        </w:rPr>
        <w:t>本文件用于展示追风机器人对外报告的页面结构、文字层级、表格和品牌用法。所有示例内容均应在正式发布前替换或确认。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4680"/>
        <w:gridCol w:w="4680"/>
      </w:tblGrid>
      <w:tr>
        <w:trPr/>
        <w:tc>
          <w:tcPr>
            <w:tcW w:type="dxa" w:w="4680"/>
            <w:tcMar>
              <w:top w:w="120" w:type="dxa"/>
              <w:bottom w:w="12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</w:tcPr>
          <w:p>
            <w:pPr>
              <w:spacing w:after="0"/>
            </w:pPr>
            <w:r>
              <w:rPr>
                <w:rFonts w:ascii="Arial" w:hAnsi="Arial" w:eastAsia="Microsoft YaHei"/>
                <w:b/>
                <w:color w:val="6B7687"/>
                <w:sz w:val="18"/>
              </w:rPr>
              <w:t xml:space="preserve">版本  </w:t>
            </w:r>
            <w:r>
              <w:rPr>
                <w:rFonts w:ascii="Arial" w:hAnsi="Arial" w:eastAsia="Microsoft YaHei"/>
                <w:b w:val="0"/>
                <w:color w:val="1B2029"/>
                <w:sz w:val="20"/>
              </w:rPr>
              <w:t>V1.0</w:t>
            </w:r>
          </w:p>
        </w:tc>
        <w:tc>
          <w:tcPr>
            <w:tcW w:type="dxa" w:w="4680"/>
            <w:tcMar>
              <w:top w:w="120" w:type="dxa"/>
              <w:bottom w:w="12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</w:tcPr>
          <w:p>
            <w:pPr>
              <w:spacing w:after="0"/>
            </w:pPr>
            <w:r>
              <w:rPr>
                <w:rFonts w:ascii="Arial" w:hAnsi="Arial" w:eastAsia="Microsoft YaHei"/>
                <w:b/>
                <w:color w:val="6B7687"/>
                <w:sz w:val="18"/>
              </w:rPr>
              <w:t xml:space="preserve">发布日期  </w:t>
            </w:r>
            <w:r>
              <w:rPr>
                <w:rFonts w:ascii="Arial" w:hAnsi="Arial" w:eastAsia="Microsoft YaHei"/>
                <w:b w:val="0"/>
                <w:color w:val="1B2029"/>
                <w:sz w:val="20"/>
              </w:rPr>
              <w:t>2026</w:t>
            </w:r>
          </w:p>
        </w:tc>
      </w:tr>
      <w:tr>
        <w:trPr/>
        <w:tc>
          <w:tcPr>
            <w:tcW w:type="dxa" w:w="4680"/>
            <w:tcMar>
              <w:top w:w="120" w:type="dxa"/>
              <w:bottom w:w="12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</w:tcPr>
          <w:p>
            <w:pPr>
              <w:spacing w:after="0"/>
            </w:pPr>
            <w:r>
              <w:rPr>
                <w:rFonts w:ascii="Arial" w:hAnsi="Arial" w:eastAsia="Microsoft YaHei"/>
                <w:b/>
                <w:color w:val="6B7687"/>
                <w:sz w:val="18"/>
              </w:rPr>
              <w:t xml:space="preserve">文档状态  </w:t>
            </w:r>
            <w:r>
              <w:rPr>
                <w:rFonts w:ascii="Arial" w:hAnsi="Arial" w:eastAsia="Microsoft YaHei"/>
                <w:b w:val="0"/>
                <w:color w:val="1B2029"/>
                <w:sz w:val="20"/>
              </w:rPr>
              <w:t>示例模板</w:t>
            </w:r>
          </w:p>
        </w:tc>
        <w:tc>
          <w:tcPr>
            <w:tcW w:type="dxa" w:w="4680"/>
            <w:tcMar>
              <w:top w:w="120" w:type="dxa"/>
              <w:bottom w:w="12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</w:tcPr>
          <w:p>
            <w:pPr>
              <w:spacing w:after="0"/>
            </w:pPr>
            <w:r>
              <w:rPr>
                <w:rFonts w:ascii="Arial" w:hAnsi="Arial" w:eastAsia="Microsoft YaHei"/>
                <w:b/>
                <w:color w:val="6B7687"/>
                <w:sz w:val="18"/>
              </w:rPr>
              <w:t xml:space="preserve">保密等级  </w:t>
            </w:r>
            <w:r>
              <w:rPr>
                <w:rFonts w:ascii="Arial" w:hAnsi="Arial" w:eastAsia="Microsoft YaHei"/>
                <w:b w:val="0"/>
                <w:color w:val="1B2029"/>
                <w:sz w:val="20"/>
              </w:rPr>
              <w:t>对外 / 按项目调整</w:t>
            </w:r>
          </w:p>
        </w:tc>
      </w:tr>
    </w:tbl>
    <w:p>
      <w:r>
        <w:br w:type="page"/>
      </w:r>
    </w:p>
    <w:p>
      <w:pPr>
        <w:pStyle w:val="Kicker"/>
        <w:spacing w:after="120"/>
      </w:pPr>
      <w:r>
        <w:rPr>
          <w:rFonts w:ascii="Arial" w:hAnsi="Arial" w:eastAsia="Microsoft YaHei"/>
          <w:b/>
          <w:caps/>
          <w:color w:val="0092B8"/>
          <w:sz w:val="18"/>
        </w:rPr>
        <w:t>01 · EXECUTIVE SUMMARY</w:t>
      </w:r>
    </w:p>
    <w:p>
      <w:pPr>
        <w:pStyle w:val="Heading1"/>
        <w:keepNext/>
      </w:pPr>
      <w:r>
        <w:t>执行摘要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80"/>
      </w:tblPr>
      <w:tblGrid>
        <w:gridCol w:w="9360"/>
      </w:tblGrid>
      <w:tr>
        <w:trPr/>
        <w:tc>
          <w:tcPr>
            <w:tcW w:type="dxa" w:w="9360"/>
            <w:tcMar>
              <w:top w:w="160" w:type="dxa"/>
              <w:bottom w:w="160" w:type="dxa"/>
              <w:start w:w="180" w:type="dxa"/>
              <w:end w:w="180" w:type="dxa"/>
            </w:tcMar>
            <w:shd w:fill="F4F8FA" w:val="clear"/>
            <w:tcBorders>
              <w:top w:val="single" w:sz="5" w:color="CFE8EE"/>
              <w:left w:val="single" w:sz="5" w:color="CFE8EE"/>
              <w:bottom w:val="single" w:sz="5" w:color="CFE8EE"/>
              <w:right w:val="single" w:sz="5" w:color="CFE8EE"/>
              <w:insideH w:val="single" w:sz="5" w:color="CFE8EE"/>
              <w:insideV w:val="single" w:sz="5" w:color="CFE8EE"/>
            </w:tcBorders>
          </w:tcPr>
          <w:p>
            <w:pPr>
              <w:spacing w:after="80"/>
            </w:pPr>
            <w:r>
              <w:rPr>
                <w:rFonts w:ascii="Arial" w:hAnsi="Arial" w:eastAsia="Microsoft YaHei"/>
                <w:b/>
                <w:color w:val="0092B8"/>
                <w:sz w:val="17"/>
              </w:rPr>
              <w:t>核心结论</w:t>
            </w:r>
          </w:p>
          <w:p>
            <w:pPr>
              <w:spacing w:after="0" w:line="300" w:lineRule="auto"/>
            </w:pPr>
            <w:r>
              <w:rPr>
                <w:rFonts w:ascii="Arial" w:hAnsi="Arial" w:eastAsia="Microsoft YaHei"/>
                <w:b w:val="0"/>
                <w:color w:val="1B2029"/>
                <w:sz w:val="24"/>
              </w:rPr>
              <w:t>追风将机器人、任务、地图和运营人员连接在同一套闭环中，让自动驾驶能力进入可持续的日常运营。</w:t>
            </w:r>
          </w:p>
        </w:tc>
      </w:tr>
    </w:tbl>
    <w:p>
      <w:pPr>
        <w:spacing w:after="80"/>
      </w:pPr>
    </w:p>
    <w:p>
      <w:pPr>
        <w:spacing w:after="120"/>
      </w:pPr>
      <w:r>
        <w:rPr>
          <w:rFonts w:ascii="Arial" w:hAnsi="Arial" w:eastAsia="Microsoft YaHei"/>
          <w:color w:val="323A47"/>
          <w:sz w:val="22"/>
        </w:rPr>
        <w:t>这是一份面向客户、合作伙伴与管理层的标准报告结构。正文使用清晰的结论标题、克制的强调色和可复用的内容组件，帮助不同团队在不重新设计版面的情况下保持一致表达。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50"/>
      </w:tblPr>
      <w:tblGrid>
        <w:gridCol w:w="3120"/>
        <w:gridCol w:w="3120"/>
        <w:gridCol w:w="3120"/>
      </w:tblGrid>
      <w:tr>
        <w:trPr>
          <w:tblHeader w:val="true"/>
        </w:trPr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00D4FF"/>
                <w:sz w:val="17"/>
              </w:rPr>
              <w:t>SCOPE</w:t>
            </w:r>
          </w:p>
        </w:tc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00D4FF"/>
                <w:sz w:val="17"/>
              </w:rPr>
              <w:t>CAPABILITY</w:t>
            </w:r>
          </w:p>
        </w:tc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00D4FF"/>
                <w:sz w:val="17"/>
              </w:rPr>
              <w:t>STATUS</w:t>
            </w:r>
          </w:p>
        </w:tc>
      </w:tr>
      <w:tr>
        <w:trPr/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2"/>
              </w:rPr>
              <w:t>端到端</w:t>
            </w:r>
          </w:p>
        </w:tc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2"/>
              </w:rPr>
              <w:t>自主 · 运营 · 体验</w:t>
            </w:r>
          </w:p>
        </w:tc>
        <w:tc>
          <w:tcPr>
            <w:tcW w:type="dxa" w:w="3120"/>
            <w:tcMar>
              <w:top w:w="120" w:type="dxa"/>
              <w:bottom w:w="120" w:type="dxa"/>
              <w:start w:w="150" w:type="dxa"/>
              <w:end w:w="15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2"/>
              </w:rPr>
              <w:t>示例模板</w:t>
            </w:r>
          </w:p>
        </w:tc>
      </w:tr>
    </w:tbl>
    <w:p>
      <w:pPr>
        <w:pStyle w:val="Heading2"/>
        <w:keepNext/>
      </w:pPr>
      <w:r>
        <w:t>报告应该回答什么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机会：</w:t>
      </w:r>
      <w:r>
        <w:rPr>
          <w:rFonts w:ascii="Arial" w:hAnsi="Arial" w:eastAsia="Microsoft YaHei"/>
          <w:color w:val="323A47"/>
          <w:sz w:val="22"/>
        </w:rPr>
        <w:t>为什么现在需要重新思考末端配送的运营方式。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能力：</w:t>
      </w:r>
      <w:r>
        <w:rPr>
          <w:rFonts w:ascii="Arial" w:hAnsi="Arial" w:eastAsia="Microsoft YaHei"/>
          <w:color w:val="323A47"/>
          <w:sz w:val="22"/>
        </w:rPr>
        <w:t>追风如何连接自主驾驶、机器人平台和运营系统。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路径：</w:t>
      </w:r>
      <w:r>
        <w:rPr>
          <w:rFonts w:ascii="Arial" w:hAnsi="Arial" w:eastAsia="Microsoft YaHei"/>
          <w:color w:val="323A47"/>
          <w:sz w:val="22"/>
        </w:rPr>
        <w:t>如何从场景验证走向稳定部署与持续优化。</w:t>
      </w:r>
    </w:p>
    <w:p>
      <w:r>
        <w:br w:type="page"/>
      </w:r>
    </w:p>
    <w:p>
      <w:pPr>
        <w:pStyle w:val="Kicker"/>
        <w:spacing w:after="120"/>
      </w:pPr>
      <w:r>
        <w:rPr>
          <w:rFonts w:ascii="Arial" w:hAnsi="Arial" w:eastAsia="Microsoft YaHei"/>
          <w:b/>
          <w:caps/>
          <w:color w:val="0092B8"/>
          <w:sz w:val="18"/>
        </w:rPr>
        <w:t>02 · COMPANY AND SOLUTION</w:t>
      </w:r>
    </w:p>
    <w:p>
      <w:pPr>
        <w:pStyle w:val="Heading1"/>
        <w:keepNext/>
      </w:pPr>
      <w:r>
        <w:t>公司与解决方案</w:t>
      </w:r>
    </w:p>
    <w:p>
      <w:pPr>
        <w:spacing w:after="120"/>
      </w:pPr>
      <w:r>
        <w:rPr>
          <w:rFonts w:ascii="Arial" w:hAnsi="Arial" w:eastAsia="Microsoft YaHei"/>
          <w:color w:val="323A47"/>
          <w:sz w:val="22"/>
        </w:rPr>
        <w:t>追风机器人面向园区、社区与商业空间的末端配送场景，构建从自主执行到运营管理的完整系统。品牌表达强调安静、自信与数据驱动，不使用夸张口号替代真实能力。</w:t>
      </w:r>
    </w:p>
    <w:p>
      <w:pPr>
        <w:spacing w:before="200" w:after="160"/>
        <w:jc w:val="center"/>
      </w:pPr>
      <w:r>
        <w:drawing>
          <wp:inline xmlns:a="http://schemas.openxmlformats.org/drawingml/2006/main" xmlns:pic="http://schemas.openxmlformats.org/drawingml/2006/picture">
            <wp:extent cx="4251960" cy="2976372"/>
            <wp:docPr id="2" name="Picture 2" descr="Z-01 配送机器人正面技术示意图" title="Z-01 配送机器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bot-hero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29763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Z-01 配送机器人技术示意图</w:t>
      </w:r>
    </w:p>
    <w:p>
      <w:pPr>
        <w:pStyle w:val="Heading2"/>
        <w:keepNext/>
      </w:pPr>
      <w:r>
        <w:t>三层能力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自主执行：</w:t>
      </w:r>
      <w:r>
        <w:rPr>
          <w:rFonts w:ascii="Arial" w:hAnsi="Arial" w:eastAsia="Microsoft YaHei"/>
          <w:color w:val="323A47"/>
          <w:sz w:val="22"/>
        </w:rPr>
        <w:t>感知、定位、规划与安全控制。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运营闭环：</w:t>
      </w:r>
      <w:r>
        <w:rPr>
          <w:rFonts w:ascii="Arial" w:hAnsi="Arial" w:eastAsia="Microsoft YaHei"/>
          <w:color w:val="323A47"/>
          <w:sz w:val="22"/>
        </w:rPr>
        <w:t>调度、监控、告警与人工接管。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交付体验：</w:t>
      </w:r>
      <w:r>
        <w:rPr>
          <w:rFonts w:ascii="Arial" w:hAnsi="Arial" w:eastAsia="Microsoft YaHei"/>
          <w:color w:val="323A47"/>
          <w:sz w:val="22"/>
        </w:rPr>
        <w:t>状态可追踪、过程可解释、服务可持续优化。</w:t>
      </w:r>
    </w:p>
    <w:p>
      <w:r>
        <w:br w:type="page"/>
      </w:r>
    </w:p>
    <w:p>
      <w:pPr>
        <w:pStyle w:val="Kicker"/>
        <w:spacing w:after="120"/>
      </w:pPr>
      <w:r>
        <w:rPr>
          <w:rFonts w:ascii="Arial" w:hAnsi="Arial" w:eastAsia="Microsoft YaHei"/>
          <w:b/>
          <w:caps/>
          <w:color w:val="0092B8"/>
          <w:sz w:val="18"/>
        </w:rPr>
        <w:t>03 · CAPABILITY MATRIX</w:t>
      </w:r>
    </w:p>
    <w:p>
      <w:pPr>
        <w:pStyle w:val="Heading1"/>
        <w:keepNext/>
      </w:pPr>
      <w:r>
        <w:t>能力矩阵</w:t>
      </w:r>
    </w:p>
    <w:p>
      <w:pPr>
        <w:spacing w:after="120"/>
      </w:pPr>
      <w:r>
        <w:rPr>
          <w:rFonts w:ascii="Arial" w:hAnsi="Arial" w:eastAsia="Microsoft YaHei"/>
          <w:color w:val="323A47"/>
          <w:sz w:val="22"/>
        </w:rPr>
        <w:t>以下矩阵展示表格的标准样式。正式文档应根据项目范围调整模块，并确保每一行都对应真实、可验证的能力或交付内容。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40"/>
      </w:tblPr>
      <w:tblGrid>
        <w:gridCol w:w="1800"/>
        <w:gridCol w:w="3420"/>
        <w:gridCol w:w="4140"/>
      </w:tblGrid>
      <w:tr>
        <w:trPr>
          <w:tblHeader w:val="true"/>
        </w:trPr>
        <w:tc>
          <w:tcPr>
            <w:tcW w:type="dxa" w:w="1800"/>
            <w:tcMar>
              <w:top w:w="110" w:type="dxa"/>
              <w:bottom w:w="110" w:type="dxa"/>
              <w:start w:w="140" w:type="dxa"/>
              <w:end w:w="14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center"/>
            </w:pPr>
            <w:r>
              <w:rPr>
                <w:rFonts w:ascii="Arial" w:hAnsi="Arial" w:eastAsia="Microsoft YaHei"/>
                <w:b/>
                <w:color w:val="00D4FF"/>
                <w:sz w:val="19"/>
              </w:rPr>
              <w:t>能力模块</w:t>
            </w:r>
          </w:p>
        </w:tc>
        <w:tc>
          <w:tcPr>
            <w:tcW w:type="dxa" w:w="3420"/>
            <w:tcMar>
              <w:top w:w="110" w:type="dxa"/>
              <w:bottom w:w="110" w:type="dxa"/>
              <w:start w:w="140" w:type="dxa"/>
              <w:end w:w="14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left"/>
            </w:pPr>
            <w:r>
              <w:rPr>
                <w:rFonts w:ascii="Arial" w:hAnsi="Arial" w:eastAsia="Microsoft YaHei"/>
                <w:b/>
                <w:color w:val="00D4FF"/>
                <w:sz w:val="19"/>
              </w:rPr>
              <w:t>系统关注点</w:t>
            </w:r>
          </w:p>
        </w:tc>
        <w:tc>
          <w:tcPr>
            <w:tcW w:type="dxa" w:w="4140"/>
            <w:tcMar>
              <w:top w:w="110" w:type="dxa"/>
              <w:bottom w:w="110" w:type="dxa"/>
              <w:start w:w="140" w:type="dxa"/>
              <w:end w:w="140" w:type="dxa"/>
            </w:tcMar>
            <w:shd w:fill="0F1217" w:val="clear"/>
            <w:tcBorders>
              <w:top w:val="single" w:sz="4" w:color="0F1217"/>
              <w:left w:val="single" w:sz="4" w:color="0F1217"/>
              <w:bottom w:val="single" w:sz="4" w:color="0F1217"/>
              <w:right w:val="single" w:sz="4" w:color="0F1217"/>
              <w:insideH w:val="single" w:sz="4" w:color="0F1217"/>
              <w:insideV w:val="single" w:sz="4" w:color="0F1217"/>
            </w:tcBorders>
            <w:vAlign w:val="center"/>
          </w:tcPr>
          <w:p>
            <w:pPr>
              <w:jc w:val="left"/>
            </w:pPr>
            <w:r>
              <w:rPr>
                <w:rFonts w:ascii="Arial" w:hAnsi="Arial" w:eastAsia="Microsoft YaHei"/>
                <w:b/>
                <w:color w:val="00D4FF"/>
                <w:sz w:val="19"/>
              </w:rPr>
              <w:t>业务价值</w:t>
            </w:r>
          </w:p>
        </w:tc>
      </w:tr>
      <w:tr>
        <w:trPr/>
        <w:tc>
          <w:tcPr>
            <w:tcW w:type="dxa" w:w="180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0"/>
              </w:rPr>
              <w:t>任务编排</w:t>
            </w:r>
          </w:p>
        </w:tc>
        <w:tc>
          <w:tcPr>
            <w:tcW w:type="dxa" w:w="342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订单、时窗、站点与服务规则</w:t>
            </w:r>
          </w:p>
        </w:tc>
        <w:tc>
          <w:tcPr>
            <w:tcW w:type="dxa" w:w="414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把业务要求转成可执行任务</w:t>
            </w:r>
          </w:p>
        </w:tc>
      </w:tr>
      <w:tr>
        <w:trPr/>
        <w:tc>
          <w:tcPr>
            <w:tcW w:type="dxa" w:w="180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0"/>
              </w:rPr>
              <w:t>车辆调度</w:t>
            </w:r>
          </w:p>
        </w:tc>
        <w:tc>
          <w:tcPr>
            <w:tcW w:type="dxa" w:w="342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车辆状态、路径与任务优先级</w:t>
            </w:r>
          </w:p>
        </w:tc>
        <w:tc>
          <w:tcPr>
            <w:tcW w:type="dxa" w:w="414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提高资源利用与计划可控性</w:t>
            </w:r>
          </w:p>
        </w:tc>
      </w:tr>
      <w:tr>
        <w:trPr/>
        <w:tc>
          <w:tcPr>
            <w:tcW w:type="dxa" w:w="180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0"/>
              </w:rPr>
              <w:t>运行监控</w:t>
            </w:r>
          </w:p>
        </w:tc>
        <w:tc>
          <w:tcPr>
            <w:tcW w:type="dxa" w:w="342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位置、电量、传感器与任务进度</w:t>
            </w:r>
          </w:p>
        </w:tc>
        <w:tc>
          <w:tcPr>
            <w:tcW w:type="dxa" w:w="4140"/>
            <w:tcMar>
              <w:top w:w="110" w:type="dxa"/>
              <w:bottom w:w="110" w:type="dxa"/>
              <w:start w:w="140" w:type="dxa"/>
              <w:end w:w="140" w:type="dxa"/>
            </w:tcMar>
            <w:shd w:fill="FFFFFF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让运营状态持续可见</w:t>
            </w:r>
          </w:p>
        </w:tc>
      </w:tr>
      <w:tr>
        <w:trPr/>
        <w:tc>
          <w:tcPr>
            <w:tcW w:type="dxa" w:w="180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 w:eastAsia="Microsoft YaHei"/>
                <w:b/>
                <w:color w:val="1B2029"/>
                <w:sz w:val="20"/>
              </w:rPr>
              <w:t>异常处置</w:t>
            </w:r>
          </w:p>
        </w:tc>
        <w:tc>
          <w:tcPr>
            <w:tcW w:type="dxa" w:w="342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告警、人工介入、恢复与复盘</w:t>
            </w:r>
          </w:p>
        </w:tc>
        <w:tc>
          <w:tcPr>
            <w:tcW w:type="dxa" w:w="4140"/>
            <w:tcMar>
              <w:top w:w="110" w:type="dxa"/>
              <w:bottom w:w="110" w:type="dxa"/>
              <w:start w:w="140" w:type="dxa"/>
              <w:end w:w="140" w:type="dxa"/>
            </w:tcMar>
            <w:shd w:fill="F4F8FA" w:val="clear"/>
            <w:tcBorders>
              <w:top w:val="single" w:sz="4" w:color="D9E5EA"/>
              <w:left w:val="single" w:sz="4" w:color="D9E5EA"/>
              <w:bottom w:val="single" w:sz="4" w:color="D9E5EA"/>
              <w:right w:val="single" w:sz="4" w:color="D9E5EA"/>
              <w:insideH w:val="single" w:sz="4" w:color="D9E5EA"/>
              <w:insideV w:val="single" w:sz="4" w:color="D9E5EA"/>
            </w:tcBorders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 w:eastAsia="Microsoft YaHei"/>
                <w:b w:val="0"/>
                <w:color w:val="323A47"/>
                <w:sz w:val="19"/>
              </w:rPr>
              <w:t>把个体经验沉淀成组织能力</w:t>
            </w:r>
          </w:p>
        </w:tc>
      </w:tr>
    </w:tbl>
    <w:p>
      <w:pPr>
        <w:pStyle w:val="Caption"/>
        <w:spacing w:before="80" w:after="80"/>
      </w:pPr>
      <w:r>
        <w:t>说明：本页内容为模板示例，不代表已承诺的具体功能范围。</w:t>
      </w:r>
    </w:p>
    <w:p>
      <w:pPr>
        <w:pStyle w:val="Heading2"/>
        <w:keepNext/>
      </w:pPr>
      <w:r>
        <w:t>使用原则</w:t>
      </w:r>
    </w:p>
    <w:p>
      <w:pPr>
        <w:spacing w:after="120"/>
      </w:pPr>
      <w:r>
        <w:rPr>
          <w:rFonts w:ascii="Arial" w:hAnsi="Arial" w:eastAsia="Microsoft YaHei"/>
          <w:color w:val="323A47"/>
          <w:sz w:val="22"/>
        </w:rPr>
        <w:t>表格仅用于真正需要横向比较的信息。解释、背景与建议应优先使用短段落、列表或结论框，避免把整段文字塞进单元格。</w:t>
      </w:r>
    </w:p>
    <w:p>
      <w:r>
        <w:br w:type="page"/>
      </w:r>
    </w:p>
    <w:p>
      <w:pPr>
        <w:pStyle w:val="Kicker"/>
        <w:spacing w:after="120"/>
      </w:pPr>
      <w:r>
        <w:rPr>
          <w:rFonts w:ascii="Arial" w:hAnsi="Arial" w:eastAsia="Microsoft YaHei"/>
          <w:b/>
          <w:caps/>
          <w:color w:val="0092B8"/>
          <w:sz w:val="18"/>
        </w:rPr>
        <w:t>04 · DELIVERY APPROACH</w:t>
      </w:r>
    </w:p>
    <w:p>
      <w:pPr>
        <w:pStyle w:val="Heading1"/>
        <w:keepNext/>
      </w:pPr>
      <w:r>
        <w:t>交付路径</w:t>
      </w:r>
    </w:p>
    <w:p>
      <w:pPr>
        <w:spacing w:after="120"/>
      </w:pPr>
      <w:r>
        <w:rPr>
          <w:rFonts w:ascii="Arial" w:hAnsi="Arial" w:eastAsia="Microsoft YaHei"/>
          <w:color w:val="323A47"/>
          <w:sz w:val="22"/>
        </w:rPr>
        <w:t>项目计划应围绕可验证结果展开。以下四步用于展示编号列表、阶段说明与交付口径。</w:t>
      </w:r>
    </w:p>
    <w:p>
      <w:pPr>
        <w:pStyle w:val="ListNumber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场景定义：</w:t>
      </w:r>
      <w:r>
        <w:rPr>
          <w:rFonts w:ascii="Arial" w:hAnsi="Arial" w:eastAsia="Microsoft YaHei"/>
          <w:color w:val="323A47"/>
          <w:sz w:val="22"/>
        </w:rPr>
        <w:t>确认路线、站点、时窗、服务规则与安全边界。</w:t>
      </w:r>
    </w:p>
    <w:p>
      <w:pPr>
        <w:pStyle w:val="ListNumber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系统准备：</w:t>
      </w:r>
      <w:r>
        <w:rPr>
          <w:rFonts w:ascii="Arial" w:hAnsi="Arial" w:eastAsia="Microsoft YaHei"/>
          <w:color w:val="323A47"/>
          <w:sz w:val="22"/>
        </w:rPr>
        <w:t>完成地图、车辆、网络、调度与运营流程配置。</w:t>
      </w:r>
    </w:p>
    <w:p>
      <w:pPr>
        <w:pStyle w:val="ListNumber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验证运行：</w:t>
      </w:r>
      <w:r>
        <w:rPr>
          <w:rFonts w:ascii="Arial" w:hAnsi="Arial" w:eastAsia="Microsoft YaHei"/>
          <w:color w:val="323A47"/>
          <w:sz w:val="22"/>
        </w:rPr>
        <w:t>在受控范围内验证任务完成、异常响应和服务体验。</w:t>
      </w:r>
    </w:p>
    <w:p>
      <w:pPr>
        <w:pStyle w:val="ListNumber"/>
        <w:spacing w:before="0" w:after="160" w:line="280" w:lineRule="auto"/>
      </w:pPr>
      <w:r>
        <w:rPr>
          <w:rFonts w:ascii="Arial" w:hAnsi="Arial" w:eastAsia="Microsoft YaHei"/>
          <w:b/>
          <w:color w:val="1B2029"/>
          <w:sz w:val="22"/>
        </w:rPr>
        <w:t>稳定运营：</w:t>
      </w:r>
      <w:r>
        <w:rPr>
          <w:rFonts w:ascii="Arial" w:hAnsi="Arial" w:eastAsia="Microsoft YaHei"/>
          <w:color w:val="323A47"/>
          <w:sz w:val="22"/>
        </w:rPr>
        <w:t>建立监控、复盘、版本管理与持续改进机制。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80"/>
      </w:tblPr>
      <w:tblGrid>
        <w:gridCol w:w="9360"/>
      </w:tblGrid>
      <w:tr>
        <w:trPr/>
        <w:tc>
          <w:tcPr>
            <w:tcW w:type="dxa" w:w="9360"/>
            <w:tcMar>
              <w:top w:w="160" w:type="dxa"/>
              <w:bottom w:w="160" w:type="dxa"/>
              <w:start w:w="180" w:type="dxa"/>
              <w:end w:w="180" w:type="dxa"/>
            </w:tcMar>
            <w:shd w:fill="F4F8FA" w:val="clear"/>
            <w:tcBorders>
              <w:top w:val="single" w:sz="5" w:color="CFE8EE"/>
              <w:left w:val="single" w:sz="5" w:color="CFE8EE"/>
              <w:bottom w:val="single" w:sz="5" w:color="CFE8EE"/>
              <w:right w:val="single" w:sz="5" w:color="CFE8EE"/>
              <w:insideH w:val="single" w:sz="5" w:color="CFE8EE"/>
              <w:insideV w:val="single" w:sz="5" w:color="CFE8EE"/>
            </w:tcBorders>
          </w:tcPr>
          <w:p>
            <w:pPr>
              <w:spacing w:after="80"/>
            </w:pPr>
            <w:r>
              <w:rPr>
                <w:rFonts w:ascii="Arial" w:hAnsi="Arial" w:eastAsia="Microsoft YaHei"/>
                <w:b/>
                <w:color w:val="0092B8"/>
                <w:sz w:val="17"/>
              </w:rPr>
              <w:t>发布检查</w:t>
            </w:r>
          </w:p>
          <w:p>
            <w:pPr>
              <w:spacing w:after="0" w:line="300" w:lineRule="auto"/>
            </w:pPr>
            <w:r>
              <w:rPr>
                <w:rFonts w:ascii="Arial" w:hAnsi="Arial" w:eastAsia="Microsoft YaHei"/>
                <w:b w:val="0"/>
                <w:color w:val="1B2029"/>
                <w:sz w:val="24"/>
              </w:rPr>
              <w:t>正式对外前，确认所有数字、客户名称、功能范围、时间表和联系方式均已获得授权。</w:t>
            </w:r>
          </w:p>
        </w:tc>
      </w:tr>
    </w:tbl>
    <w:p>
      <w:pPr>
        <w:spacing w:after="80"/>
      </w:pPr>
    </w:p>
    <w:p>
      <w:pPr>
        <w:pStyle w:val="Heading2"/>
        <w:keepNext/>
      </w:pPr>
      <w:r>
        <w:t>推荐附件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color w:val="323A47"/>
          <w:sz w:val="22"/>
        </w:rPr>
        <w:t>产品与系统架构说明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color w:val="323A47"/>
          <w:sz w:val="22"/>
        </w:rPr>
        <w:t>项目范围与责任边界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color w:val="323A47"/>
          <w:sz w:val="22"/>
        </w:rPr>
        <w:t>部署计划与验收标准</w:t>
      </w:r>
    </w:p>
    <w:p>
      <w:pPr>
        <w:pStyle w:val="ListBullet"/>
        <w:spacing w:before="0" w:after="160" w:line="280" w:lineRule="auto"/>
      </w:pPr>
      <w:r>
        <w:rPr>
          <w:rFonts w:ascii="Arial" w:hAnsi="Arial" w:eastAsia="Microsoft YaHei"/>
          <w:color w:val="323A47"/>
          <w:sz w:val="22"/>
        </w:rPr>
        <w:t>品牌资产和联系信息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360"/>
      <w:jc w:val="left"/>
      <w:tblLayout w:type="fixed"/>
      <w:tblLook w:firstColumn="1" w:firstRow="1" w:lastColumn="0" w:lastRow="0" w:noHBand="0" w:noVBand="1" w:val="04A0"/>
      <w:tblInd w:type="dxa" w:w="0"/>
    </w:tblPr>
    <w:tblGrid>
      <w:gridCol w:w="7020"/>
      <w:gridCol w:w="2340"/>
    </w:tblGrid>
    <w:tr>
      <w:trPr/>
      <w:tc>
        <w:tcPr>
          <w:tcW w:type="dxa" w:w="7020"/>
          <w:tcMar>
            <w:top w:w="0" w:type="dxa"/>
            <w:bottom w:w="0" w:type="dxa"/>
            <w:start w:w="0" w:type="dxa"/>
            <w:end w:w="0" w:type="dxa"/>
          </w:tcMar>
          <w:vAlign w:val="center"/>
        </w:tcPr>
        <w:p>
          <w:pPr>
            <w:spacing w:after="0"/>
          </w:pPr>
          <w:r>
            <w:rPr>
              <w:rFonts w:ascii="Arial" w:hAnsi="Arial" w:eastAsia="Microsoft YaHei"/>
              <w:color w:val="6B7687"/>
              <w:sz w:val="17"/>
            </w:rPr>
            <w:t>公司能力报告  ·  示例模板</w:t>
          </w:r>
        </w:p>
      </w:tc>
      <w:tc>
        <w:tcPr>
          <w:tcW w:type="dxa" w:w="2340"/>
          <w:tcMar>
            <w:top w:w="0" w:type="dxa"/>
            <w:bottom w:w="0" w:type="dxa"/>
            <w:start w:w="0" w:type="dxa"/>
            <w:end w:w="0" w:type="dxa"/>
          </w:tcMar>
          <w:vAlign w:val="center"/>
        </w:tcPr>
        <w:p>
          <w:pPr>
            <w:spacing w:after="0"/>
            <w:jc w:val="right"/>
          </w:pPr>
          <w:r>
            <w:rPr>
              <w:rFonts w:ascii="Arial" w:hAnsi="Arial" w:eastAsia="Microsoft YaHei"/>
              <w:b/>
              <w:color w:val="6B7687"/>
              <w:sz w:val="17"/>
            </w:rPr>
            <w:t xml:space="preserve">PAGE  </w:t>
          </w:r>
          <w:r>
            <w:rPr>
              <w:rFonts w:ascii="Arial" w:hAnsi="Arial" w:eastAsia="Microsoft YaHei"/>
              <w:color w:val="6B7687"/>
              <w:sz w:val="18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Microsoft YaHei"/>
        <w:b/>
        <w:color w:val="6B7687"/>
        <w:sz w:val="17"/>
      </w:rPr>
      <w:t>ZEPHYR ROBOTICS  ·  追风机器人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Microsoft YaHei"/>
        <w:b/>
        <w:caps/>
        <w:color w:val="6B7687"/>
        <w:sz w:val="17"/>
      </w:rPr>
      <w:t>ZEPHYR ROBOTICS  ·  追风机器人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rial" w:hAnsi="Arial" w:eastAsia="Microsoft YaHei"/>
      <w:color w:val="323A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 w:eastAsia="Microsoft YaHei"/>
      <w:b/>
      <w:bCs/>
      <w:color w:val="0092B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Microsoft YaHei"/>
      <w:b/>
      <w:bCs/>
      <w:color w:val="0092B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 w:eastAsia="Microsoft YaHei"/>
      <w:b/>
      <w:bCs/>
      <w:color w:val="1B202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 w:eastAsia="Microsoft YaHei"/>
      <w:b w:val="0"/>
      <w:color w:val="0A0C10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240"/>
    </w:pPr>
    <w:rPr>
      <w:rFonts w:asciiTheme="majorHAnsi" w:eastAsiaTheme="majorEastAsia" w:hAnsiTheme="majorHAnsi" w:cstheme="majorBidi" w:ascii="Arial" w:hAnsi="Arial" w:eastAsia="Microsoft YaHei"/>
      <w:i/>
      <w:iCs/>
      <w:color w:val="6B7687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after="80"/>
    </w:pPr>
    <w:rPr>
      <w:rFonts w:ascii="Arial" w:hAnsi="Arial" w:eastAsia="Microsoft YaHei"/>
      <w:b w:val="0"/>
      <w:bCs/>
      <w:color w:val="6B7687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after="0"/>
    </w:pPr>
    <w:rPr>
      <w:rFonts w:ascii="Arial" w:hAnsi="Arial" w:eastAsia="Microsoft YaHei"/>
      <w:b/>
      <w:caps/>
      <w:color w:val="0092B8"/>
      <w:sz w:val="18"/>
    </w:rPr>
  </w:style>
  <w:style w:type="paragraph" w:customStyle="1" w:styleId="Lead">
    <w:name w:val="Lead"/>
    <w:pPr>
      <w:spacing w:after="160" w:line="300" w:lineRule="auto"/>
    </w:pPr>
    <w:rPr>
      <w:rFonts w:ascii="Arial" w:hAnsi="Arial" w:eastAsia="Microsoft YaHei"/>
      <w:b w:val="0"/>
      <w:color w:val="1B2029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追风机器人公司能力报告模板</dc:title>
  <dc:subject>Zephyr Robotics external report template</dc:subject>
  <dc:creator>Zephyr Robotics</dc:creator>
  <cp:keywords>Zephyr Robotics, 追风机器人, report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